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B36B" w14:textId="77777777" w:rsidR="00C320E8" w:rsidRPr="0085693D" w:rsidRDefault="00C320E8" w:rsidP="00C320E8">
      <w:pPr>
        <w:pStyle w:val="Heading1"/>
        <w:adjustRightInd w:val="0"/>
        <w:snapToGrid w:val="0"/>
        <w:spacing w:before="60" w:after="0" w:line="312" w:lineRule="auto"/>
      </w:pPr>
      <w:bookmarkStart w:id="0" w:name="_Toc31898372"/>
      <w:bookmarkStart w:id="1" w:name="_Toc140398625"/>
      <w:bookmarkStart w:id="2" w:name="_Toc141360420"/>
      <w:bookmarkStart w:id="3" w:name="_Toc142836572"/>
      <w:bookmarkStart w:id="4" w:name="_Toc142987349"/>
      <w:bookmarkStart w:id="5" w:name="_Toc143067035"/>
      <w:bookmarkStart w:id="6" w:name="_Toc153332991"/>
      <w:r w:rsidRPr="0085693D">
        <w:t>1</w:t>
      </w:r>
      <w:r>
        <w:rPr>
          <w:lang w:val="vi-VN"/>
        </w:rPr>
        <w:t>3</w:t>
      </w:r>
      <w:r w:rsidRPr="0085693D">
        <w:t>. BAL GANGADHAR TILAK (1856 – 1920)</w:t>
      </w:r>
      <w:bookmarkEnd w:id="0"/>
      <w:bookmarkEnd w:id="1"/>
      <w:bookmarkEnd w:id="2"/>
      <w:bookmarkEnd w:id="3"/>
      <w:bookmarkEnd w:id="4"/>
      <w:bookmarkEnd w:id="5"/>
      <w:bookmarkEnd w:id="6"/>
    </w:p>
    <w:p w14:paraId="0AE40C7B"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một trong những lãnh tụ phong trào dân tộc của Ấn Độ, lãnh đạo phái cấp tiến trong Đảng Quốc </w:t>
      </w:r>
      <w:r>
        <w:rPr>
          <w:szCs w:val="28"/>
        </w:rPr>
        <w:t>đ</w:t>
      </w:r>
      <w:r w:rsidRPr="0085693D">
        <w:rPr>
          <w:szCs w:val="28"/>
        </w:rPr>
        <w:t>ại Ấn Độ và là một nhà toán học, triết gia.</w:t>
      </w:r>
    </w:p>
    <w:p w14:paraId="69BF80DB"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 </w:t>
      </w:r>
      <w:r>
        <w:rPr>
          <w:szCs w:val="28"/>
        </w:rPr>
        <w:t>Ông s</w:t>
      </w:r>
      <w:r w:rsidRPr="0085693D">
        <w:rPr>
          <w:szCs w:val="28"/>
        </w:rPr>
        <w:t xml:space="preserve">inh ngày 23.7.1856 ở Chikhali trong một gia đình trí thức trung lưu thuộc đẳng cấp Brahman tại Ratnagiri (nay thuộc bang Maharashtra). Năm 1876, </w:t>
      </w:r>
      <w:r>
        <w:rPr>
          <w:szCs w:val="28"/>
        </w:rPr>
        <w:t xml:space="preserve">ông </w:t>
      </w:r>
      <w:r w:rsidRPr="0085693D">
        <w:rPr>
          <w:szCs w:val="28"/>
        </w:rPr>
        <w:t>lấy bằng cử nhân Toán học và Ngôn ngữ Sanskrit tại Trường Cao đẳng Deccan ở Poona, sau đó tiếp tục nhận bằng Luật học tại Đại học Bombay. Năm 1880, ông cùng bạn bè mở một trường tư thục ở Poona. Từ thời điểm đó, trường học trở thành nền tảng cho sự nghiệp chính trị của ông. Bal</w:t>
      </w:r>
      <w:r w:rsidRPr="0085693D">
        <w:rPr>
          <w:szCs w:val="28"/>
          <w:lang w:val="vi-VN"/>
        </w:rPr>
        <w:t xml:space="preserve"> Gangadhar Tilak (vt. </w:t>
      </w:r>
      <w:r w:rsidRPr="0085693D">
        <w:rPr>
          <w:szCs w:val="28"/>
        </w:rPr>
        <w:t>BGT</w:t>
      </w:r>
      <w:r w:rsidRPr="0085693D">
        <w:rPr>
          <w:szCs w:val="28"/>
          <w:lang w:val="vi-VN"/>
        </w:rPr>
        <w:t>)</w:t>
      </w:r>
      <w:r w:rsidRPr="0085693D">
        <w:rPr>
          <w:szCs w:val="28"/>
        </w:rPr>
        <w:t xml:space="preserve"> tập trung phát triển tổ chức trong các trường đại học (hệ thống University college như ở Anh) sau khi thành lập Hiệp hội Giáo dục Deccan năm 1884, đặc biệt sử dụng tiếng Anh, nhằm mục đích giáo dục quần chúng. Tiếng Anh được ông cùng các cộng sự coi như một công cụ mạnh mẽ giúp phổ biến các ý tưởng tự do và dân chủ. </w:t>
      </w:r>
    </w:p>
    <w:p w14:paraId="72BF37E8"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Nhận thấy các thành viên trong Hiệp hội Giáo dục Deccan chỉ chú ý tới tìm kiếm lợi ích cho riêng mình nên BGT đã rời khỏi Hiệp hội. Ông chuyển sang nhiệm vụ khai sáng ý thức chính trị của quần chúng thông qua 2 tuần báo mà ông sở hữu và biên tập – </w:t>
      </w:r>
      <w:r w:rsidRPr="0085693D">
        <w:rPr>
          <w:i/>
          <w:iCs/>
          <w:szCs w:val="28"/>
        </w:rPr>
        <w:t xml:space="preserve">Kerasi </w:t>
      </w:r>
      <w:r w:rsidRPr="0085693D">
        <w:rPr>
          <w:szCs w:val="28"/>
        </w:rPr>
        <w:t xml:space="preserve">(“Sư Tử”) xuất bản bằng tiếng Marathi và </w:t>
      </w:r>
      <w:r w:rsidRPr="0085693D">
        <w:rPr>
          <w:i/>
          <w:iCs/>
          <w:szCs w:val="28"/>
        </w:rPr>
        <w:t>The Mahratta</w:t>
      </w:r>
      <w:r w:rsidRPr="0085693D">
        <w:rPr>
          <w:szCs w:val="28"/>
        </w:rPr>
        <w:t xml:space="preserve"> xuất bản bằng tiếng Anh. Thông qua những tờ báo đó, BGT trở nên nổi tiếng với những chỉ trích gay gắt nhắm tới sự thống trị của Anh cũng như những thành phần theo chủ nghĩa ôn hòa trong Đảng Quốc </w:t>
      </w:r>
      <w:r>
        <w:rPr>
          <w:szCs w:val="28"/>
        </w:rPr>
        <w:t>đ</w:t>
      </w:r>
      <w:r w:rsidRPr="0085693D">
        <w:rPr>
          <w:szCs w:val="28"/>
        </w:rPr>
        <w:t>ại – những người ủng hộ cải cách xã hội theo đường lối phương Tây và cải cách chính trị trong phạm vi của Hiến pháp mà Anh tạo ra cho Ấn Độ. Ông cho rằng, khuyến khích cải cách ôn hòa sẽ đẩy năng lượng của quần chúng ra khỏi cuộc đấu tranh vì nền độc lập.</w:t>
      </w:r>
    </w:p>
    <w:p w14:paraId="2CD0C421"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Để mở rộng lực lượng chống thực dân Anh lúc bấy giờ vốn chủ yếu bó hẹp trong giới thượng lưu Ấn Độ, BGT đã tìm cách viện dẫn, sử dụng các biểu tượng tôn giáo cũng như cuộc đấu tranh của nhà nước Maratha chống lại vương quyền Muslim Mughal. Do đó, ông đã khởi xướng tổ chức hai lễ hội: Ganesha tôn vinh vị thần linh thiêng của người Hindu và Shivaji ca tụng người sáng lập nhà nước Maratha theo Hindu giáo và bài Muslim. Hoạt động của BGT khiến tinh thần dân tộc của dân chúng phát triển mạnh mẽ và cũng khiến ông phải đối đầu với nhà cầm quyền Anh. Năm 1897, ông bị kết tội “mị dân” và bị tống giam. Phiên tòa xét xử </w:t>
      </w:r>
      <w:r w:rsidRPr="0085693D">
        <w:rPr>
          <w:szCs w:val="28"/>
        </w:rPr>
        <w:lastRenderedPageBreak/>
        <w:t xml:space="preserve">cùng với bản án đã mang lại một danh hiệu mà người dân Ấn trao cho ông: Lokamanya, tức là “Thủ lĩnh yêu dấu của nhân dân”. BGT được trả tự do sau 18 tháng. </w:t>
      </w:r>
    </w:p>
    <w:p w14:paraId="600101C6"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Khi Lord Cruzon, Phó vương Ấn Độ thông qua đạo luật chia tách xứ Bengal, BGT đã ủng hộ mạnh mẽ người dân Bengal chống đối đạo luật này, tẩy chay hàng hóa Anh. Phong trào nhanh chóng lan ra toàn quốc. Từ đó ông đặt ra khuôn khổ cho một chương trình phản kháng thụ động, được biết tới như những nguyên tắc của đảng chính trị mới nhằm chống chính sách mị dân của chính quyền Anh và chuẩn bị cho sự hi sinh của dân chúng để giành độc lập. Cách tiếp cận của BGT mạnh mẽ hơn nhiều bộ phận ôn hòa trong Đảng Quốc </w:t>
      </w:r>
      <w:r>
        <w:rPr>
          <w:szCs w:val="28"/>
        </w:rPr>
        <w:t>đ</w:t>
      </w:r>
      <w:r w:rsidRPr="0085693D">
        <w:rPr>
          <w:szCs w:val="28"/>
        </w:rPr>
        <w:t>ại lúc đó vốn tin rằng thể hiện sự “trung thành” với chính quyền cai trị Anh có thể đổi lại những cải cách nhỏ. BGT thì hướng tới swaraj (</w:t>
      </w:r>
      <w:r>
        <w:rPr>
          <w:szCs w:val="28"/>
        </w:rPr>
        <w:t>t</w:t>
      </w:r>
      <w:r w:rsidRPr="0085693D">
        <w:rPr>
          <w:szCs w:val="28"/>
        </w:rPr>
        <w:t xml:space="preserve">ự trị) chứ không muốn dừng ở các cải cách từng phần, và đã cố gắng thuyết phục Đảng Quốc </w:t>
      </w:r>
      <w:r>
        <w:rPr>
          <w:szCs w:val="28"/>
        </w:rPr>
        <w:t>đ</w:t>
      </w:r>
      <w:r w:rsidRPr="0085693D">
        <w:rPr>
          <w:szCs w:val="28"/>
        </w:rPr>
        <w:t xml:space="preserve">ại thông qua ý tưởng đấu tranh bằng quân sự của mình. Về vấn đề này, ông mâu thuẫn gay gắt với nhóm ôn hòa trong Đại hội của Đảng Quốc </w:t>
      </w:r>
      <w:r>
        <w:rPr>
          <w:szCs w:val="28"/>
        </w:rPr>
        <w:t>đ</w:t>
      </w:r>
      <w:r w:rsidRPr="0085693D">
        <w:rPr>
          <w:szCs w:val="28"/>
        </w:rPr>
        <w:t xml:space="preserve">ại tại Surat (nay thuộc bang Gujarat) khiến Đảng này phân li. </w:t>
      </w:r>
    </w:p>
    <w:p w14:paraId="21ADF654"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Lợi dụng sự chia rẽ trong Đảng Quốc </w:t>
      </w:r>
      <w:r>
        <w:rPr>
          <w:szCs w:val="28"/>
        </w:rPr>
        <w:t>đ</w:t>
      </w:r>
      <w:r w:rsidRPr="0085693D">
        <w:rPr>
          <w:szCs w:val="28"/>
        </w:rPr>
        <w:t xml:space="preserve">ại, chính quyền Anh tại Ấn Độ một lần nữa bắt giam BGT về tội mị dân và kích động khủng bố, buộc ông thụ án 6 năm tại Mandalay (Miến Điện, khi đó là một tỉnh của Ấn Độ thuộc Anh). Trong tù, BGT đã viết kiệt tác của mình – </w:t>
      </w:r>
      <w:r w:rsidRPr="0085693D">
        <w:rPr>
          <w:i/>
          <w:iCs/>
          <w:szCs w:val="28"/>
        </w:rPr>
        <w:t>Bí mật của Bhagavadgita</w:t>
      </w:r>
      <w:r w:rsidRPr="0085693D">
        <w:rPr>
          <w:szCs w:val="28"/>
        </w:rPr>
        <w:t xml:space="preserve"> – bình phẩm cuốn sách linh thiêng bậc nhất của Hindu giáo. Theo đó, ông cho rằng Bhagavadgita dạy nhân loại về lòng vị tha cao cả. </w:t>
      </w:r>
    </w:p>
    <w:p w14:paraId="29CFAF7C"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 xml:space="preserve">Khi được trả tự do vào năm 1914, BGT tiếp tục dấn thân vào chính trị với việc thành lập Liên đoàn tự trị do ông làm Chủ tịch. Ông tái gia nhập Đảng Quốc </w:t>
      </w:r>
      <w:r>
        <w:rPr>
          <w:szCs w:val="28"/>
        </w:rPr>
        <w:t>đ</w:t>
      </w:r>
      <w:r w:rsidRPr="0085693D">
        <w:rPr>
          <w:szCs w:val="28"/>
        </w:rPr>
        <w:t xml:space="preserve">ại năm 1916 và thông qua Công ước Lucknow – thỏa thuận lịch sử giữa người Hindu với người Muslim để đoàn kết chống thực dân Anh. Trước khi dự Hội nghị thường niên của Đảng Quốc </w:t>
      </w:r>
      <w:r>
        <w:rPr>
          <w:szCs w:val="28"/>
        </w:rPr>
        <w:t>đ</w:t>
      </w:r>
      <w:r w:rsidRPr="0085693D">
        <w:rPr>
          <w:szCs w:val="28"/>
        </w:rPr>
        <w:t xml:space="preserve">ại tại Amritsar năm 1919, BGT thay đổi lập trường cứng rắn trước đó, tìm cách ủng hộ chương trình cải cách của chính quyền Anh nhằm đổi lại sự tham gia của người Ấn vào hệ thống hành chính địa phương. </w:t>
      </w:r>
    </w:p>
    <w:p w14:paraId="1F8C0004" w14:textId="77777777" w:rsidR="00C320E8" w:rsidRPr="0085693D" w:rsidRDefault="00C320E8" w:rsidP="00C320E8">
      <w:pPr>
        <w:adjustRightInd w:val="0"/>
        <w:snapToGrid w:val="0"/>
        <w:spacing w:before="60" w:line="312" w:lineRule="auto"/>
        <w:ind w:firstLine="567"/>
        <w:jc w:val="both"/>
        <w:rPr>
          <w:szCs w:val="28"/>
        </w:rPr>
      </w:pPr>
      <w:r w:rsidRPr="0085693D">
        <w:rPr>
          <w:szCs w:val="28"/>
        </w:rPr>
        <w:t>Ông mất ngày</w:t>
      </w:r>
      <w:r>
        <w:rPr>
          <w:szCs w:val="28"/>
        </w:rPr>
        <w:t xml:space="preserve"> </w:t>
      </w:r>
      <w:r w:rsidRPr="0085693D">
        <w:rPr>
          <w:szCs w:val="28"/>
        </w:rPr>
        <w:t xml:space="preserve">1.8.1920, tên tuổi của BGT được khắc ghi vào lịch sử phong trào dân tộc Ấn như là người khởi xướng một chương trình hành động mà sau đó đã chứng tỏ được sức mạnh: swaraj, boycott, swadeshi, giáo dục quốc gia. Trong </w:t>
      </w:r>
      <w:r w:rsidRPr="0085693D">
        <w:rPr>
          <w:szCs w:val="28"/>
        </w:rPr>
        <w:lastRenderedPageBreak/>
        <w:t xml:space="preserve">ký ức của dân chúng, hầu hết hình dung về BGT thông qua phát ngôn đầy thách thức của ông: “Swaraj là quyền sống của tôi và tôi sẽ giành lấy nó”. Về cơ bản, ông được xem như người đầu tiên trong Đảng Quốc </w:t>
      </w:r>
      <w:r>
        <w:rPr>
          <w:szCs w:val="28"/>
        </w:rPr>
        <w:t>đ</w:t>
      </w:r>
      <w:r w:rsidRPr="0085693D">
        <w:rPr>
          <w:szCs w:val="28"/>
        </w:rPr>
        <w:t>ại nhận ra tầm quan trọng của phong trào phản kháng từ quần chúng cho tới khi M.</w:t>
      </w:r>
      <w:r w:rsidRPr="0085693D">
        <w:rPr>
          <w:szCs w:val="28"/>
          <w:lang w:val="vi-VN"/>
        </w:rPr>
        <w:t xml:space="preserve"> </w:t>
      </w:r>
      <w:r w:rsidRPr="0085693D">
        <w:rPr>
          <w:szCs w:val="28"/>
        </w:rPr>
        <w:t>K.</w:t>
      </w:r>
      <w:r w:rsidRPr="0085693D">
        <w:rPr>
          <w:szCs w:val="28"/>
          <w:lang w:val="vi-VN"/>
        </w:rPr>
        <w:t xml:space="preserve"> </w:t>
      </w:r>
      <w:r w:rsidRPr="0085693D">
        <w:rPr>
          <w:szCs w:val="28"/>
        </w:rPr>
        <w:t xml:space="preserve">Gandhi gia nhập Đảng. </w:t>
      </w:r>
    </w:p>
    <w:p w14:paraId="58E9565E" w14:textId="77777777" w:rsidR="00C320E8" w:rsidRPr="0085693D" w:rsidRDefault="00C320E8" w:rsidP="00C320E8">
      <w:pPr>
        <w:adjustRightInd w:val="0"/>
        <w:snapToGrid w:val="0"/>
        <w:spacing w:before="60" w:line="312" w:lineRule="auto"/>
        <w:ind w:firstLine="567"/>
        <w:jc w:val="both"/>
      </w:pPr>
      <w:r w:rsidRPr="0085693D">
        <w:rPr>
          <w:szCs w:val="28"/>
        </w:rPr>
        <w:t>Thơ ca, bài hát, áp phích, sách báo, các tiểu luận đã biến BGT thành một biểu tượng phổ biến trong thế giới của chủ nghĩa dân tộc Ấn Độ. Đã có nhiều người viết về BGT ngay từ khi ông còn sống và trong nhiều thập kỷ sau khi giành độc lập, khi mà chủ nghĩa dân tộc Hindu giáo biến thành một trong những hệ tư tưởng thống trị. Dù không hoàn toàn tán thành đường lối của BGT, M.</w:t>
      </w:r>
      <w:r w:rsidRPr="0085693D">
        <w:rPr>
          <w:szCs w:val="28"/>
          <w:lang w:val="vi-VN"/>
        </w:rPr>
        <w:t xml:space="preserve"> </w:t>
      </w:r>
      <w:r w:rsidRPr="0085693D">
        <w:rPr>
          <w:szCs w:val="28"/>
        </w:rPr>
        <w:t>K.</w:t>
      </w:r>
      <w:r w:rsidRPr="0085693D">
        <w:rPr>
          <w:szCs w:val="28"/>
          <w:lang w:val="vi-VN"/>
        </w:rPr>
        <w:t xml:space="preserve"> </w:t>
      </w:r>
      <w:r w:rsidRPr="0085693D">
        <w:rPr>
          <w:szCs w:val="28"/>
        </w:rPr>
        <w:t>Gandhi vẫn ca ngợi ông là “Người kiến tạo Ấn Độ hiện đại”. Còn J.</w:t>
      </w:r>
      <w:r w:rsidRPr="0085693D">
        <w:rPr>
          <w:szCs w:val="28"/>
          <w:lang w:val="vi-VN"/>
        </w:rPr>
        <w:t xml:space="preserve"> </w:t>
      </w:r>
      <w:r w:rsidRPr="0085693D">
        <w:rPr>
          <w:szCs w:val="28"/>
        </w:rPr>
        <w:t>Nehru, Thủ tướng đầu tiên của Cộng hòa Ấn Độ mô tả ông như là “Người Cha của Cách mạng Ấn Độ”.</w:t>
      </w:r>
    </w:p>
    <w:p w14:paraId="3CA9DF7F" w14:textId="77777777" w:rsidR="00C320E8" w:rsidRPr="0085693D" w:rsidRDefault="00C320E8" w:rsidP="00C320E8">
      <w:pPr>
        <w:adjustRightInd w:val="0"/>
        <w:snapToGrid w:val="0"/>
        <w:spacing w:before="60" w:line="312" w:lineRule="auto"/>
        <w:jc w:val="right"/>
        <w:rPr>
          <w:b/>
          <w:bCs/>
          <w:sz w:val="20"/>
          <w:szCs w:val="20"/>
        </w:rPr>
      </w:pPr>
      <w:r w:rsidRPr="0085693D">
        <w:rPr>
          <w:b/>
          <w:bCs/>
          <w:sz w:val="20"/>
          <w:szCs w:val="20"/>
        </w:rPr>
        <w:t>VĂN NGỌC THÀNH</w:t>
      </w:r>
    </w:p>
    <w:p w14:paraId="5BEFE38D" w14:textId="77777777" w:rsidR="00C320E8" w:rsidRPr="0085693D" w:rsidRDefault="00C320E8" w:rsidP="00C320E8">
      <w:pPr>
        <w:adjustRightInd w:val="0"/>
        <w:snapToGrid w:val="0"/>
        <w:spacing w:before="60" w:line="312" w:lineRule="auto"/>
        <w:rPr>
          <w:b/>
          <w:bCs/>
          <w:sz w:val="24"/>
          <w:szCs w:val="24"/>
        </w:rPr>
      </w:pPr>
      <w:r w:rsidRPr="0085693D">
        <w:rPr>
          <w:b/>
          <w:bCs/>
          <w:sz w:val="24"/>
          <w:szCs w:val="24"/>
        </w:rPr>
        <w:t>Tài liệu tham khảo</w:t>
      </w:r>
    </w:p>
    <w:p w14:paraId="1CF97EF4" w14:textId="77777777" w:rsidR="00C320E8" w:rsidRPr="0085693D" w:rsidRDefault="00C320E8" w:rsidP="00C320E8">
      <w:pPr>
        <w:adjustRightInd w:val="0"/>
        <w:snapToGrid w:val="0"/>
        <w:spacing w:before="60" w:line="312" w:lineRule="auto"/>
        <w:jc w:val="both"/>
        <w:rPr>
          <w:bCs/>
          <w:sz w:val="24"/>
          <w:szCs w:val="24"/>
        </w:rPr>
      </w:pPr>
      <w:r w:rsidRPr="0085693D">
        <w:rPr>
          <w:bCs/>
          <w:sz w:val="24"/>
          <w:szCs w:val="24"/>
        </w:rPr>
        <w:t>1.</w:t>
      </w:r>
      <w:r>
        <w:rPr>
          <w:bCs/>
          <w:sz w:val="24"/>
          <w:szCs w:val="24"/>
        </w:rPr>
        <w:t xml:space="preserve"> </w:t>
      </w:r>
      <w:r w:rsidRPr="0085693D">
        <w:rPr>
          <w:bCs/>
          <w:sz w:val="24"/>
          <w:szCs w:val="24"/>
        </w:rPr>
        <w:t xml:space="preserve">Văn Ngọc Thành, </w:t>
      </w:r>
      <w:r w:rsidRPr="0085693D">
        <w:rPr>
          <w:bCs/>
          <w:i/>
          <w:sz w:val="24"/>
          <w:szCs w:val="24"/>
        </w:rPr>
        <w:t>Liên đoàn tự trị Ấn Độ từ 1916 đến 1920</w:t>
      </w:r>
      <w:r w:rsidRPr="0085693D">
        <w:rPr>
          <w:bCs/>
          <w:sz w:val="24"/>
          <w:szCs w:val="24"/>
        </w:rPr>
        <w:t xml:space="preserve">, </w:t>
      </w:r>
      <w:r>
        <w:rPr>
          <w:bCs/>
          <w:sz w:val="24"/>
          <w:szCs w:val="24"/>
        </w:rPr>
        <w:t xml:space="preserve">Tạp chí </w:t>
      </w:r>
      <w:r w:rsidRPr="0085693D">
        <w:rPr>
          <w:bCs/>
          <w:sz w:val="24"/>
          <w:szCs w:val="24"/>
        </w:rPr>
        <w:t xml:space="preserve">Nghiên cứu lịch sử,, </w:t>
      </w:r>
      <w:r>
        <w:rPr>
          <w:bCs/>
          <w:sz w:val="24"/>
          <w:szCs w:val="24"/>
        </w:rPr>
        <w:t>s</w:t>
      </w:r>
      <w:r w:rsidRPr="0085693D">
        <w:rPr>
          <w:bCs/>
          <w:sz w:val="24"/>
          <w:szCs w:val="24"/>
        </w:rPr>
        <w:t>ố 12 (368), 2006.</w:t>
      </w:r>
    </w:p>
    <w:p w14:paraId="2A880B3E" w14:textId="77777777" w:rsidR="00C320E8" w:rsidRPr="0085693D" w:rsidRDefault="00C320E8" w:rsidP="00C320E8">
      <w:pPr>
        <w:adjustRightInd w:val="0"/>
        <w:snapToGrid w:val="0"/>
        <w:spacing w:before="60" w:line="312" w:lineRule="auto"/>
        <w:jc w:val="both"/>
        <w:rPr>
          <w:sz w:val="24"/>
          <w:szCs w:val="24"/>
          <w:lang w:val="vi-VN"/>
        </w:rPr>
      </w:pPr>
      <w:r w:rsidRPr="0085693D">
        <w:rPr>
          <w:sz w:val="24"/>
          <w:szCs w:val="24"/>
        </w:rPr>
        <w:t xml:space="preserve">2. Richard I. Cashman, </w:t>
      </w:r>
      <w:r w:rsidRPr="0085693D">
        <w:rPr>
          <w:i/>
          <w:iCs/>
          <w:sz w:val="24"/>
          <w:szCs w:val="24"/>
        </w:rPr>
        <w:t>The myth of the Lokamanya: Tilak and mass politics in Maharashtra</w:t>
      </w:r>
      <w:r w:rsidRPr="0085693D">
        <w:rPr>
          <w:sz w:val="24"/>
          <w:szCs w:val="24"/>
        </w:rPr>
        <w:t xml:space="preserve">, University of California Press, Berkeley, 1975 (Richard I. Cashman, </w:t>
      </w:r>
      <w:r w:rsidRPr="0085693D">
        <w:rPr>
          <w:i/>
          <w:iCs/>
          <w:sz w:val="24"/>
          <w:szCs w:val="24"/>
        </w:rPr>
        <w:t xml:space="preserve">Huyền thoại về Lokamanya: Tilak và nền chính trị đại chúng ở Maharashtra, </w:t>
      </w:r>
      <w:r w:rsidRPr="0085693D">
        <w:rPr>
          <w:iCs/>
          <w:sz w:val="24"/>
          <w:szCs w:val="24"/>
        </w:rPr>
        <w:t>Nxb. Đại học California, Berkeley,</w:t>
      </w:r>
      <w:r w:rsidRPr="0085693D">
        <w:rPr>
          <w:i/>
          <w:iCs/>
          <w:sz w:val="24"/>
          <w:szCs w:val="24"/>
        </w:rPr>
        <w:t xml:space="preserve"> </w:t>
      </w:r>
      <w:r w:rsidRPr="0085693D">
        <w:rPr>
          <w:sz w:val="24"/>
          <w:szCs w:val="24"/>
        </w:rPr>
        <w:t>1975)</w:t>
      </w:r>
      <w:r w:rsidRPr="0085693D">
        <w:rPr>
          <w:sz w:val="24"/>
          <w:szCs w:val="24"/>
          <w:lang w:val="vi-VN"/>
        </w:rPr>
        <w:t>.</w:t>
      </w:r>
    </w:p>
    <w:p w14:paraId="402410A1" w14:textId="77777777" w:rsidR="00C320E8" w:rsidRPr="0085693D" w:rsidRDefault="00C320E8" w:rsidP="00C320E8">
      <w:pPr>
        <w:adjustRightInd w:val="0"/>
        <w:snapToGrid w:val="0"/>
        <w:spacing w:before="60" w:line="312" w:lineRule="auto"/>
        <w:jc w:val="both"/>
        <w:rPr>
          <w:sz w:val="24"/>
          <w:szCs w:val="24"/>
          <w:lang w:val="vi-VN"/>
        </w:rPr>
      </w:pPr>
      <w:r w:rsidRPr="0085693D">
        <w:rPr>
          <w:sz w:val="24"/>
          <w:szCs w:val="24"/>
        </w:rPr>
        <w:t xml:space="preserve">3. Glyn Richards, </w:t>
      </w:r>
      <w:r w:rsidRPr="0085693D">
        <w:rPr>
          <w:i/>
          <w:iCs/>
          <w:sz w:val="24"/>
          <w:szCs w:val="24"/>
        </w:rPr>
        <w:t>A Source Book of Modern Hinduism</w:t>
      </w:r>
      <w:r w:rsidRPr="0085693D">
        <w:rPr>
          <w:sz w:val="24"/>
          <w:szCs w:val="24"/>
        </w:rPr>
        <w:t xml:space="preserve">, Taylor &amp; Francis, London, 2005 (Glyn Richards, </w:t>
      </w:r>
      <w:r w:rsidRPr="0085693D">
        <w:rPr>
          <w:i/>
          <w:iCs/>
          <w:sz w:val="24"/>
          <w:szCs w:val="24"/>
        </w:rPr>
        <w:t xml:space="preserve">Một cuốn sách nguồn về Ấn Độ giáo hiện đại, </w:t>
      </w:r>
      <w:r w:rsidRPr="0085693D">
        <w:rPr>
          <w:sz w:val="24"/>
          <w:szCs w:val="24"/>
        </w:rPr>
        <w:t>Taylor &amp; Francis, London, 2005)</w:t>
      </w:r>
      <w:r w:rsidRPr="0085693D">
        <w:rPr>
          <w:sz w:val="24"/>
          <w:szCs w:val="24"/>
          <w:lang w:val="vi-VN"/>
        </w:rPr>
        <w:t>.</w:t>
      </w:r>
    </w:p>
    <w:p w14:paraId="429ED8CA" w14:textId="77777777" w:rsidR="00C320E8" w:rsidRPr="0085693D" w:rsidRDefault="00C320E8" w:rsidP="00C320E8">
      <w:pPr>
        <w:adjustRightInd w:val="0"/>
        <w:snapToGrid w:val="0"/>
        <w:spacing w:before="60" w:line="312" w:lineRule="auto"/>
        <w:jc w:val="both"/>
        <w:rPr>
          <w:sz w:val="24"/>
          <w:szCs w:val="24"/>
          <w:lang w:val="vi-VN"/>
        </w:rPr>
      </w:pPr>
      <w:r w:rsidRPr="0085693D">
        <w:rPr>
          <w:sz w:val="24"/>
          <w:szCs w:val="24"/>
        </w:rPr>
        <w:t xml:space="preserve">4. Barbara D. Metcalf, Thomas R. Metcalf. </w:t>
      </w:r>
      <w:r w:rsidRPr="0085693D">
        <w:rPr>
          <w:i/>
          <w:iCs/>
          <w:sz w:val="24"/>
          <w:szCs w:val="24"/>
        </w:rPr>
        <w:t>A Concise History of India</w:t>
      </w:r>
      <w:r w:rsidRPr="0085693D">
        <w:rPr>
          <w:sz w:val="24"/>
          <w:szCs w:val="24"/>
        </w:rPr>
        <w:t xml:space="preserve"> (2</w:t>
      </w:r>
      <w:r w:rsidRPr="0085693D">
        <w:rPr>
          <w:sz w:val="24"/>
          <w:szCs w:val="24"/>
          <w:vertAlign w:val="superscript"/>
        </w:rPr>
        <w:t>nd</w:t>
      </w:r>
      <w:r w:rsidRPr="0085693D">
        <w:rPr>
          <w:sz w:val="24"/>
          <w:szCs w:val="24"/>
        </w:rPr>
        <w:t xml:space="preserve"> ed.), Cambridge University Press, 2006 (Barbara D. Metcalf, Thomas R. Metcalf, </w:t>
      </w:r>
      <w:r w:rsidRPr="0085693D">
        <w:rPr>
          <w:i/>
          <w:iCs/>
          <w:sz w:val="24"/>
          <w:szCs w:val="24"/>
        </w:rPr>
        <w:t>Khái lược lịch sử Ấn Độ</w:t>
      </w:r>
      <w:r w:rsidRPr="0085693D">
        <w:rPr>
          <w:sz w:val="24"/>
          <w:szCs w:val="24"/>
        </w:rPr>
        <w:t xml:space="preserve"> (tái bản lần thứ 2), Nxb. Đại học Cambridge, 2006)</w:t>
      </w:r>
      <w:r w:rsidRPr="0085693D">
        <w:rPr>
          <w:sz w:val="24"/>
          <w:szCs w:val="24"/>
          <w:lang w:val="vi-VN"/>
        </w:rPr>
        <w:t>.</w:t>
      </w:r>
    </w:p>
    <w:p w14:paraId="62EF913A" w14:textId="77777777" w:rsidR="00C320E8" w:rsidRPr="0085693D" w:rsidRDefault="00C320E8" w:rsidP="00C320E8">
      <w:pPr>
        <w:adjustRightInd w:val="0"/>
        <w:snapToGrid w:val="0"/>
        <w:spacing w:before="60" w:line="312" w:lineRule="auto"/>
        <w:jc w:val="both"/>
        <w:rPr>
          <w:sz w:val="24"/>
          <w:szCs w:val="24"/>
          <w:lang w:val="vi-VN"/>
        </w:rPr>
      </w:pPr>
      <w:r w:rsidRPr="0085693D">
        <w:rPr>
          <w:sz w:val="24"/>
          <w:szCs w:val="24"/>
        </w:rPr>
        <w:t xml:space="preserve">5. Ramachandra Guha, </w:t>
      </w:r>
      <w:r w:rsidRPr="0085693D">
        <w:rPr>
          <w:i/>
          <w:iCs/>
          <w:sz w:val="24"/>
          <w:szCs w:val="24"/>
        </w:rPr>
        <w:t>Makers of Modern India</w:t>
      </w:r>
      <w:r w:rsidRPr="0085693D">
        <w:rPr>
          <w:sz w:val="24"/>
          <w:szCs w:val="24"/>
        </w:rPr>
        <w:t xml:space="preserve">, Belknap Press of Harvard University Press, Cambridge, MA, 2011 (Ramachandra Guha, </w:t>
      </w:r>
      <w:r w:rsidRPr="0085693D">
        <w:rPr>
          <w:i/>
          <w:iCs/>
          <w:sz w:val="24"/>
          <w:szCs w:val="24"/>
        </w:rPr>
        <w:t xml:space="preserve">Những người tạo ra Ấn Độ hiện đại, </w:t>
      </w:r>
      <w:r w:rsidRPr="0085693D">
        <w:rPr>
          <w:sz w:val="24"/>
          <w:szCs w:val="24"/>
        </w:rPr>
        <w:t>Cambridge, MA, Nxb. Belknap của Nhà xuất bản Đại học Harvard, 2011)</w:t>
      </w:r>
      <w:r w:rsidRPr="0085693D">
        <w:rPr>
          <w:sz w:val="24"/>
          <w:szCs w:val="24"/>
          <w:lang w:val="vi-VN"/>
        </w:rPr>
        <w:t>.</w:t>
      </w:r>
    </w:p>
    <w:p w14:paraId="1BA341BA" w14:textId="77777777" w:rsidR="00C320E8" w:rsidRPr="0085693D" w:rsidRDefault="00C320E8" w:rsidP="00C320E8">
      <w:pPr>
        <w:adjustRightInd w:val="0"/>
        <w:snapToGrid w:val="0"/>
        <w:spacing w:before="60" w:line="312" w:lineRule="auto"/>
        <w:jc w:val="both"/>
        <w:rPr>
          <w:sz w:val="24"/>
          <w:szCs w:val="24"/>
        </w:rPr>
      </w:pPr>
    </w:p>
    <w:p w14:paraId="611D465F" w14:textId="77777777" w:rsidR="00C320E8" w:rsidRDefault="00C320E8"/>
    <w:sectPr w:rsidR="00C320E8"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8"/>
    <w:rsid w:val="00992B42"/>
    <w:rsid w:val="00C320E8"/>
    <w:rsid w:val="00E4255A"/>
    <w:rsid w:val="00EA1A60"/>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223C"/>
  <w15:chartTrackingRefBased/>
  <w15:docId w15:val="{3D8A9550-3988-B04B-8EC8-EBA746E3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E8"/>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C320E8"/>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C320E8"/>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C320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2025-12-04T06:23:00Z</dcterms:created>
  <dcterms:modified xsi:type="dcterms:W3CDTF">2025-12-30T00:43:00Z</dcterms:modified>
</cp:coreProperties>
</file>